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2D" w:rsidRDefault="00A80B2D" w:rsidP="00E5211E">
      <w:pPr>
        <w:shd w:val="clear" w:color="auto" w:fill="FFFFFF"/>
        <w:spacing w:line="240" w:lineRule="auto"/>
        <w:outlineLvl w:val="1"/>
        <w:rPr>
          <w:rFonts w:ascii="Times New Roman" w:hAnsi="Times New Roman"/>
          <w:b/>
          <w:color w:val="666666"/>
          <w:sz w:val="42"/>
          <w:szCs w:val="42"/>
          <w:lang w:eastAsia="ru-RU"/>
        </w:rPr>
      </w:pPr>
      <w:r w:rsidRPr="00106F78">
        <w:rPr>
          <w:rFonts w:ascii="Times New Roman" w:hAnsi="Times New Roman"/>
          <w:b/>
          <w:color w:val="666666"/>
          <w:sz w:val="42"/>
          <w:szCs w:val="42"/>
          <w:lang w:eastAsia="ru-RU"/>
        </w:rPr>
        <w:t>Отбор в региональную программу</w:t>
      </w:r>
      <w:r w:rsidRPr="00B974A4">
        <w:rPr>
          <w:rFonts w:ascii="Times New Roman" w:hAnsi="Times New Roman"/>
          <w:b/>
          <w:color w:val="666666"/>
          <w:sz w:val="42"/>
          <w:szCs w:val="42"/>
          <w:lang w:eastAsia="ru-RU"/>
        </w:rPr>
        <w:t xml:space="preserve"> повышения мобильности трудовых ресурсов</w:t>
      </w:r>
      <w:r>
        <w:rPr>
          <w:rFonts w:ascii="Times New Roman" w:hAnsi="Times New Roman"/>
          <w:b/>
          <w:color w:val="666666"/>
          <w:sz w:val="42"/>
          <w:szCs w:val="42"/>
          <w:lang w:eastAsia="ru-RU"/>
        </w:rPr>
        <w:t xml:space="preserve"> </w:t>
      </w:r>
    </w:p>
    <w:p w:rsidR="00A80B2D" w:rsidRPr="00106F78" w:rsidRDefault="00A80B2D" w:rsidP="00106F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06F7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 рамках региональной программы повышения мобильности трудовых ресурсов (постановление Правительства Красноярского края от 27.07.2015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06F78">
        <w:rPr>
          <w:rFonts w:ascii="Times New Roman" w:hAnsi="Times New Roman"/>
          <w:color w:val="333333"/>
          <w:sz w:val="28"/>
          <w:szCs w:val="28"/>
          <w:lang w:eastAsia="ru-RU"/>
        </w:rPr>
        <w:t>№ 391-п) предусмотрена финансовая поддержка работодателей при привлечении на постоянную работу квалифицированных работников из других регионов Российской Федерации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106F78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(кроме Камчатского края, Пермского края, Приморского края, Хабаровского края, Амурской области, Архангельской области, Вологодской области, Калужской области, Липецкой области, Магаданской области, Новосибирской области, Сахалинской области, Тамбовской области, Ульяновской области</w:t>
      </w:r>
      <w:proofErr w:type="gramEnd"/>
      <w:r w:rsidRPr="00106F78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, Чукотского автономного округа (перечень утвержден распоряжением Правительства РФ от 20.04.2015 № 696-р)</w:t>
      </w:r>
      <w:r w:rsidRPr="00106F78">
        <w:rPr>
          <w:rFonts w:ascii="Times New Roman" w:hAnsi="Times New Roman"/>
          <w:color w:val="333333"/>
          <w:sz w:val="28"/>
          <w:szCs w:val="28"/>
          <w:lang w:eastAsia="ru-RU"/>
        </w:rPr>
        <w:t>. </w:t>
      </w:r>
    </w:p>
    <w:p w:rsidR="00A80B2D" w:rsidRDefault="00A80B2D" w:rsidP="00F74C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06F78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106F78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Размер финансовой поддержки составляет 225 тысяч на одного работника.</w:t>
      </w:r>
      <w:r w:rsidRPr="00106F78">
        <w:rPr>
          <w:rFonts w:ascii="Times New Roman" w:hAnsi="Times New Roman"/>
          <w:color w:val="333333"/>
          <w:sz w:val="28"/>
          <w:szCs w:val="28"/>
          <w:lang w:eastAsia="ru-RU"/>
        </w:rPr>
        <w:t> Средства могут расходоваться на любые меры поддержки работников, привлекаемых из других регионов, в том числе: </w:t>
      </w:r>
      <w:r w:rsidRPr="00106F78">
        <w:rPr>
          <w:rFonts w:ascii="Times New Roman" w:hAnsi="Times New Roman"/>
          <w:color w:val="333333"/>
          <w:sz w:val="28"/>
          <w:szCs w:val="28"/>
          <w:lang w:eastAsia="ru-RU"/>
        </w:rPr>
        <w:br/>
        <w:t> </w:t>
      </w:r>
    </w:p>
    <w:p w:rsidR="00A80B2D" w:rsidRPr="00106F78" w:rsidRDefault="00A80B2D" w:rsidP="00F74C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06F78">
        <w:rPr>
          <w:rFonts w:ascii="Times New Roman" w:hAnsi="Times New Roman"/>
          <w:color w:val="333333"/>
          <w:sz w:val="28"/>
          <w:szCs w:val="28"/>
          <w:lang w:eastAsia="ru-RU"/>
        </w:rPr>
        <w:t>Компенсация затрат на проезд работника и членов его семьи, а также расходов, связанных с провозом личного имущества работника и членов его семьи;</w:t>
      </w:r>
    </w:p>
    <w:p w:rsidR="006F1841" w:rsidRPr="006F1841" w:rsidRDefault="006F1841" w:rsidP="006F18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F1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компенсация затрат на проезд работника и членов его семьи к месту работы работника, а также расходов, связанных с провозом личного имущества работника и членов его семьи к месту работы работника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6F1841" w:rsidRPr="006F1841" w:rsidRDefault="006F1841" w:rsidP="006F18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F1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 работнику и членам его семьи жилья, включая оплату жилищно-коммунальных услуг (аренда, наем или приобретение жилья, в том числе по договору ипотечного кредитования, оплата пребывания в гостинице, общежитии) и (или) компенсация соответствующих расходов работника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6F1841" w:rsidRPr="006F1841" w:rsidRDefault="006F1841" w:rsidP="006F18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F1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бытовое обустройство работника и членов его семьи (в том числе приобретение домашней мебели, бытовой техники, электрических (газовых) плит, инженерного, сантехнического оборудования), а также оплата текущего ремонта жилого помещения, находящегося в собственности, и (или) компенсация соответствующих расходов работника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6F1841" w:rsidRPr="006F1841" w:rsidRDefault="006F1841" w:rsidP="006F18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F1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единовременная выплата работнику в связи с переездом из другого субъекта Российской Федерации и трудоустройством в рамках региональной программы повышения мобильности трудовых ресурсов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6F1841" w:rsidRPr="006F1841" w:rsidRDefault="006F1841" w:rsidP="006F18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F1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оплата обучения работника (профессиональная подготовка, переподготовка, повышение квалификации), в том числе для получения необходимых компетенций перед трудоустройством работника, и (или) компенсация соответствующих расходов работника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6F1841" w:rsidRPr="006F1841" w:rsidRDefault="006F1841" w:rsidP="006F18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F1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оплата расходов, связанных с направлением работника на обучение (оплата проезда работника до места учебы и обратно, оплата жилья на время учебы, оплата командировочных (суточных) расходов работнику, направленному на обучение и другое), и (или) компенсация соответствующих расходов работника</w:t>
      </w:r>
    </w:p>
    <w:p w:rsidR="006F1841" w:rsidRPr="006F1841" w:rsidRDefault="006F1841" w:rsidP="006F18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F1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оплата пребывания в дошкольной образовательной организации и обучения детей работника в образовательных организациях до момента окончания </w:t>
      </w:r>
      <w:r w:rsidRPr="006F1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образовательной организации и (или) компенсация соответствующих расходов работника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6F1841" w:rsidRPr="006F1841" w:rsidRDefault="006F1841" w:rsidP="006F18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6F1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оплата расходов на прохождение работником независимой оценки квалификации на соответствие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Федерации, в том числе оплата командировочных (суточных) расходов работников, направленных на прохождение независимой оценки квалификаций с отрывом от работы в другую местность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6F1841" w:rsidRPr="006F1841" w:rsidRDefault="006F1841" w:rsidP="006F18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6F1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 работнику дополнительного социального пакета (оплата полиса добровольного медицинского страхования, оплата питания в течение рабочего дня, расходы по приобретению специальной одежды, специальной обуви и других средств индивидуальной защиты, оплата проезда до работы и обратно, оплата расходов на оздоровление и отдых работника и членов его семьи, оплата расходов на оказание платных медицинских услуг, материальная помощь (при рождении ребенка, при уходе работника</w:t>
      </w:r>
      <w:proofErr w:type="gramEnd"/>
      <w:r w:rsidRPr="006F1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ежегодный оплачиваемый отпуск, смерти близких родственников (детей, супругов), при бракосочетании)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F1841" w:rsidRPr="006F1841" w:rsidRDefault="006F1841" w:rsidP="00106F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80B2D" w:rsidRPr="00106F78" w:rsidRDefault="00A80B2D" w:rsidP="00106F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06F78">
        <w:rPr>
          <w:rFonts w:ascii="Times New Roman" w:hAnsi="Times New Roman"/>
          <w:color w:val="333333"/>
          <w:sz w:val="28"/>
          <w:szCs w:val="28"/>
          <w:lang w:eastAsia="ru-RU"/>
        </w:rPr>
        <w:t>В связи с вступлением в силу Федерального закона от 03.07.2018 № 190-ФЗ, с 02.10.2018 упрощается механизм участия в программе: </w:t>
      </w:r>
    </w:p>
    <w:p w:rsidR="00A80B2D" w:rsidRPr="00106F78" w:rsidRDefault="00A80B2D" w:rsidP="00106F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06F78">
        <w:rPr>
          <w:rFonts w:ascii="Times New Roman" w:hAnsi="Times New Roman"/>
          <w:color w:val="333333"/>
          <w:sz w:val="28"/>
          <w:szCs w:val="28"/>
          <w:lang w:eastAsia="ru-RU"/>
        </w:rPr>
        <w:t>заявителем может выступать любой работодатель, испытывающий потребность в трудовых ресурсах (за исключением государственных и муниципальных учреждений);</w:t>
      </w:r>
    </w:p>
    <w:p w:rsidR="00A80B2D" w:rsidRPr="00106F78" w:rsidRDefault="00A80B2D" w:rsidP="00106F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06F78">
        <w:rPr>
          <w:rFonts w:ascii="Times New Roman" w:hAnsi="Times New Roman"/>
          <w:color w:val="333333"/>
          <w:sz w:val="28"/>
          <w:szCs w:val="28"/>
          <w:lang w:eastAsia="ru-RU"/>
        </w:rPr>
        <w:t>исключается запрет сокращать работников в период получения и использования финансовой поддержки;</w:t>
      </w:r>
    </w:p>
    <w:p w:rsidR="00A80B2D" w:rsidRPr="00106F78" w:rsidRDefault="00A80B2D" w:rsidP="00106F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06F78">
        <w:rPr>
          <w:rFonts w:ascii="Times New Roman" w:hAnsi="Times New Roman"/>
          <w:color w:val="333333"/>
          <w:sz w:val="28"/>
          <w:szCs w:val="28"/>
          <w:lang w:eastAsia="ru-RU"/>
        </w:rPr>
        <w:t>срочный трудовой договор с привлеченным специалистом можно будет заключать минимум на два года, а не на три;</w:t>
      </w:r>
    </w:p>
    <w:p w:rsidR="00A80B2D" w:rsidRPr="00106F78" w:rsidRDefault="00A80B2D" w:rsidP="00106F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06F78">
        <w:rPr>
          <w:rFonts w:ascii="Times New Roman" w:hAnsi="Times New Roman"/>
          <w:color w:val="333333"/>
          <w:sz w:val="28"/>
          <w:szCs w:val="28"/>
          <w:lang w:eastAsia="ru-RU"/>
        </w:rPr>
        <w:t>упрощается процедура получения работодателем сертификата на привлечение трудовых ресурсов, финансовой поддержки (исключается условие о проверке задолженности работодателя по обязательным платежам в бюджеты);</w:t>
      </w:r>
    </w:p>
    <w:p w:rsidR="00A80B2D" w:rsidRPr="00106F78" w:rsidRDefault="00A80B2D" w:rsidP="00106F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06F78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5639D1" w:rsidRDefault="005639D1" w:rsidP="005639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Ф</w:t>
      </w:r>
      <w:r w:rsidR="00A80B2D" w:rsidRPr="00106F7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ормируется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A80B2D" w:rsidRPr="00106F78">
        <w:rPr>
          <w:rFonts w:ascii="Times New Roman" w:hAnsi="Times New Roman"/>
          <w:color w:val="333333"/>
          <w:sz w:val="28"/>
          <w:szCs w:val="28"/>
          <w:lang w:eastAsia="ru-RU"/>
        </w:rPr>
        <w:t>резерв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A80B2D" w:rsidRPr="00106F7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предприятий,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A80B2D" w:rsidRPr="00106F7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желающих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A80B2D" w:rsidRPr="00106F7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принять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A80B2D" w:rsidRPr="00106F78">
        <w:rPr>
          <w:rFonts w:ascii="Times New Roman" w:hAnsi="Times New Roman"/>
          <w:color w:val="333333"/>
          <w:sz w:val="28"/>
          <w:szCs w:val="28"/>
          <w:lang w:eastAsia="ru-RU"/>
        </w:rPr>
        <w:t>участие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A80B2D" w:rsidRPr="00106F7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A80B2D" w:rsidRPr="00106F7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программе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A80B2D" w:rsidRPr="00106F7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A80B2D" w:rsidRPr="00106F78">
        <w:rPr>
          <w:rFonts w:ascii="Times New Roman" w:hAnsi="Times New Roman"/>
          <w:color w:val="333333"/>
          <w:sz w:val="28"/>
          <w:szCs w:val="28"/>
          <w:lang w:eastAsia="ru-RU"/>
        </w:rPr>
        <w:t>в</w:t>
      </w:r>
      <w:proofErr w:type="gramEnd"/>
      <w:r w:rsidR="00A80B2D" w:rsidRPr="00106F7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A80B2D" w:rsidRPr="00106F78" w:rsidRDefault="00A80B2D" w:rsidP="005639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06F78">
        <w:rPr>
          <w:rFonts w:ascii="Times New Roman" w:hAnsi="Times New Roman"/>
          <w:color w:val="333333"/>
          <w:sz w:val="28"/>
          <w:szCs w:val="28"/>
          <w:lang w:eastAsia="ru-RU"/>
        </w:rPr>
        <w:t>2019</w:t>
      </w:r>
      <w:r w:rsidR="005639D1">
        <w:rPr>
          <w:rFonts w:ascii="Times New Roman" w:hAnsi="Times New Roman"/>
          <w:color w:val="333333"/>
          <w:sz w:val="28"/>
          <w:szCs w:val="28"/>
          <w:lang w:eastAsia="ru-RU"/>
        </w:rPr>
        <w:t>-</w:t>
      </w:r>
      <w:r w:rsidRPr="00106F7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202</w:t>
      </w:r>
      <w:r w:rsidR="006F1841">
        <w:rPr>
          <w:rFonts w:ascii="Times New Roman" w:hAnsi="Times New Roman"/>
          <w:color w:val="333333"/>
          <w:sz w:val="28"/>
          <w:szCs w:val="28"/>
          <w:lang w:eastAsia="ru-RU"/>
        </w:rPr>
        <w:t>2</w:t>
      </w:r>
      <w:r w:rsidRPr="00106F7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06F78">
        <w:rPr>
          <w:rFonts w:ascii="Times New Roman" w:hAnsi="Times New Roman"/>
          <w:color w:val="333333"/>
          <w:sz w:val="28"/>
          <w:szCs w:val="28"/>
          <w:lang w:eastAsia="ru-RU"/>
        </w:rPr>
        <w:t>годах</w:t>
      </w:r>
      <w:proofErr w:type="gramEnd"/>
      <w:r w:rsidRPr="00106F7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A80B2D" w:rsidRPr="00106F78" w:rsidRDefault="00A80B2D" w:rsidP="00106F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F053C" w:rsidRDefault="00A80B2D" w:rsidP="00106F7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106F78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106F78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Консультации по вопросам участия в региональной программе повышения мобильности трудовых ресурсов можно получить:</w:t>
      </w:r>
    </w:p>
    <w:p w:rsidR="00A80B2D" w:rsidRPr="00106F78" w:rsidRDefault="00A80B2D" w:rsidP="00106F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06F78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A80B2D" w:rsidRDefault="00A80B2D" w:rsidP="005639D1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211E">
        <w:rPr>
          <w:rFonts w:ascii="Times New Roman" w:hAnsi="Times New Roman"/>
          <w:bCs/>
          <w:sz w:val="28"/>
          <w:szCs w:val="28"/>
        </w:rPr>
        <w:t>в КГКУ "</w:t>
      </w:r>
      <w:proofErr w:type="gramStart"/>
      <w:r w:rsidRPr="00E5211E">
        <w:rPr>
          <w:rFonts w:ascii="Times New Roman" w:hAnsi="Times New Roman"/>
          <w:bCs/>
          <w:sz w:val="28"/>
          <w:szCs w:val="28"/>
        </w:rPr>
        <w:t>ЦЗН</w:t>
      </w:r>
      <w:proofErr w:type="gramEnd"/>
      <w:r w:rsidRPr="00E5211E">
        <w:rPr>
          <w:rFonts w:ascii="Times New Roman" w:hAnsi="Times New Roman"/>
          <w:bCs/>
          <w:sz w:val="28"/>
          <w:szCs w:val="28"/>
        </w:rPr>
        <w:t xml:space="preserve"> ЗАТО г. Железногорска" заместитель директора центра занятости населения </w:t>
      </w:r>
      <w:proofErr w:type="spellStart"/>
      <w:r w:rsidRPr="00E5211E">
        <w:rPr>
          <w:rFonts w:ascii="Times New Roman" w:hAnsi="Times New Roman"/>
          <w:bCs/>
          <w:sz w:val="28"/>
          <w:szCs w:val="28"/>
        </w:rPr>
        <w:t>Булавчук</w:t>
      </w:r>
      <w:proofErr w:type="spellEnd"/>
      <w:r w:rsidRPr="00E5211E">
        <w:rPr>
          <w:rFonts w:ascii="Times New Roman" w:hAnsi="Times New Roman"/>
          <w:bCs/>
          <w:sz w:val="28"/>
          <w:szCs w:val="28"/>
        </w:rPr>
        <w:t xml:space="preserve"> Людмила Григорьевна, телефон 8(3919)75-34-03.</w:t>
      </w:r>
    </w:p>
    <w:p w:rsidR="005639D1" w:rsidRPr="005639D1" w:rsidRDefault="005639D1" w:rsidP="005639D1">
      <w:pPr>
        <w:widowControl w:val="0"/>
        <w:tabs>
          <w:tab w:val="left" w:pos="567"/>
        </w:tabs>
        <w:spacing w:after="0" w:line="240" w:lineRule="auto"/>
        <w:ind w:left="36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80B2D" w:rsidRPr="00E5211E" w:rsidRDefault="00A80B2D" w:rsidP="005639D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5211E">
        <w:rPr>
          <w:rFonts w:ascii="Times New Roman" w:hAnsi="Times New Roman"/>
          <w:color w:val="333333"/>
          <w:sz w:val="28"/>
          <w:szCs w:val="28"/>
          <w:lang w:eastAsia="ru-RU"/>
        </w:rPr>
        <w:t>в отделе по информационному сопровождению инвестиционных проектов агентства – телефоны 8(391) 221-98-90, электронная почта invest@azn24.ru, invest_24@mail.ru.</w:t>
      </w:r>
    </w:p>
    <w:sectPr w:rsidR="00A80B2D" w:rsidRPr="00E5211E" w:rsidSect="006F18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B99"/>
    <w:multiLevelType w:val="multilevel"/>
    <w:tmpl w:val="85A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E6470"/>
    <w:multiLevelType w:val="hybridMultilevel"/>
    <w:tmpl w:val="F830D6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EE2392"/>
    <w:multiLevelType w:val="hybridMultilevel"/>
    <w:tmpl w:val="803E3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161B0"/>
    <w:multiLevelType w:val="multilevel"/>
    <w:tmpl w:val="C484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B1CD0"/>
    <w:multiLevelType w:val="multilevel"/>
    <w:tmpl w:val="0E28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D1695D"/>
    <w:multiLevelType w:val="multilevel"/>
    <w:tmpl w:val="DDA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382"/>
    <w:rsid w:val="000F053C"/>
    <w:rsid w:val="00106F78"/>
    <w:rsid w:val="001C1BB2"/>
    <w:rsid w:val="002344E8"/>
    <w:rsid w:val="0044610B"/>
    <w:rsid w:val="005639D1"/>
    <w:rsid w:val="006A0382"/>
    <w:rsid w:val="006F1841"/>
    <w:rsid w:val="00A80B2D"/>
    <w:rsid w:val="00B974A4"/>
    <w:rsid w:val="00BF42F5"/>
    <w:rsid w:val="00E5211E"/>
    <w:rsid w:val="00F7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F5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106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06F7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99"/>
    <w:qFormat/>
    <w:rsid w:val="00106F78"/>
    <w:rPr>
      <w:rFonts w:cs="Times New Roman"/>
      <w:i/>
      <w:iCs/>
    </w:rPr>
  </w:style>
  <w:style w:type="character" w:styleId="a4">
    <w:name w:val="Hyperlink"/>
    <w:basedOn w:val="a0"/>
    <w:uiPriority w:val="99"/>
    <w:semiHidden/>
    <w:rsid w:val="00106F78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106F7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5192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609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О. Новицкая</dc:creator>
  <cp:keywords/>
  <dc:description/>
  <cp:lastModifiedBy>Загария Елена Николаевна</cp:lastModifiedBy>
  <cp:revision>4</cp:revision>
  <cp:lastPrinted>2019-05-22T06:30:00Z</cp:lastPrinted>
  <dcterms:created xsi:type="dcterms:W3CDTF">2019-01-23T03:34:00Z</dcterms:created>
  <dcterms:modified xsi:type="dcterms:W3CDTF">2019-05-22T06:30:00Z</dcterms:modified>
</cp:coreProperties>
</file>